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5BBF5" w14:textId="02230BCD" w:rsidR="00A71F8A" w:rsidRPr="005501B4" w:rsidRDefault="00CF7939">
      <w:pPr>
        <w:rPr>
          <w:rFonts w:ascii="Times New Roman" w:hAnsi="Times New Roman" w:cs="Times New Roman"/>
          <w:b/>
          <w:bCs/>
          <w:sz w:val="28"/>
          <w:szCs w:val="28"/>
        </w:rPr>
      </w:pPr>
      <w:r w:rsidRPr="005501B4">
        <w:rPr>
          <w:rFonts w:ascii="Times New Roman" w:hAnsi="Times New Roman" w:cs="Times New Roman"/>
          <w:b/>
          <w:bCs/>
          <w:sz w:val="28"/>
          <w:szCs w:val="28"/>
        </w:rPr>
        <w:t>Nehemiah</w:t>
      </w:r>
    </w:p>
    <w:p w14:paraId="36A34251" w14:textId="77777777" w:rsidR="00CF7939" w:rsidRPr="00CF7939" w:rsidRDefault="00CF7939" w:rsidP="00CF7939">
      <w:pPr>
        <w:rPr>
          <w:rFonts w:ascii="Times New Roman" w:hAnsi="Times New Roman" w:cs="Times New Roman"/>
          <w:sz w:val="28"/>
          <w:szCs w:val="28"/>
        </w:rPr>
      </w:pPr>
      <w:r w:rsidRPr="00CF7939">
        <w:rPr>
          <w:rFonts w:ascii="Times New Roman" w:hAnsi="Times New Roman" w:cs="Times New Roman"/>
          <w:sz w:val="28"/>
          <w:szCs w:val="28"/>
        </w:rPr>
        <w:t>As noted in the r</w:t>
      </w:r>
      <w:r>
        <w:rPr>
          <w:rFonts w:ascii="Times New Roman" w:hAnsi="Times New Roman" w:cs="Times New Roman"/>
          <w:sz w:val="28"/>
          <w:szCs w:val="28"/>
        </w:rPr>
        <w:t xml:space="preserve">eading </w:t>
      </w:r>
      <w:r w:rsidRPr="00CF7939">
        <w:rPr>
          <w:rFonts w:ascii="Times New Roman" w:hAnsi="Times New Roman" w:cs="Times New Roman"/>
          <w:sz w:val="28"/>
          <w:szCs w:val="28"/>
        </w:rPr>
        <w:t>g</w:t>
      </w:r>
      <w:r>
        <w:rPr>
          <w:rFonts w:ascii="Times New Roman" w:hAnsi="Times New Roman" w:cs="Times New Roman"/>
          <w:sz w:val="28"/>
          <w:szCs w:val="28"/>
        </w:rPr>
        <w:t>uide</w:t>
      </w:r>
      <w:r w:rsidRPr="00CF7939">
        <w:rPr>
          <w:rFonts w:ascii="Times New Roman" w:hAnsi="Times New Roman" w:cs="Times New Roman"/>
          <w:sz w:val="28"/>
          <w:szCs w:val="28"/>
        </w:rPr>
        <w:t xml:space="preserve"> for Ezra, Ezra and Nehemiah are components of what was originally a single work. The book of Nehemiah deals with the political and administrative side of the restoration, while the book of Ezra focuses on the establishment of Torah as the guide by which the returned</w:t>
      </w:r>
      <w:r>
        <w:rPr>
          <w:rFonts w:ascii="Times New Roman" w:hAnsi="Times New Roman" w:cs="Times New Roman"/>
          <w:sz w:val="28"/>
          <w:szCs w:val="28"/>
        </w:rPr>
        <w:t xml:space="preserve"> </w:t>
      </w:r>
      <w:r w:rsidRPr="00CF7939">
        <w:rPr>
          <w:rFonts w:ascii="Times New Roman" w:hAnsi="Times New Roman" w:cs="Times New Roman"/>
          <w:sz w:val="28"/>
          <w:szCs w:val="28"/>
        </w:rPr>
        <w:t>community lived. Besides these varied concerns, there is one striking difference between the two books based on literary form. According to Nehemiah 1: 1, the book is an account for which Nehemiah himself is responsible. A significant portion of the book is written in the first person (1: 1– 7: 5; 12: 31– 13: 31). These sections are called “Memoirs of Nehemiah.”</w:t>
      </w:r>
    </w:p>
    <w:p w14:paraId="2C7A97A8" w14:textId="77777777" w:rsidR="005501B4" w:rsidRPr="005501B4" w:rsidRDefault="005501B4" w:rsidP="005501B4">
      <w:pPr>
        <w:rPr>
          <w:rFonts w:ascii="Times New Roman" w:hAnsi="Times New Roman" w:cs="Times New Roman"/>
          <w:sz w:val="28"/>
          <w:szCs w:val="28"/>
        </w:rPr>
      </w:pPr>
      <w:r w:rsidRPr="005501B4">
        <w:rPr>
          <w:rFonts w:ascii="Times New Roman" w:hAnsi="Times New Roman" w:cs="Times New Roman"/>
          <w:sz w:val="28"/>
          <w:szCs w:val="28"/>
        </w:rPr>
        <w:t>It is important to see the work of both Nehemiah and Ezra against the challenging conditions in postexilic Judah that the prophets Malachi and Haggai depict (see Malachi 1–1– 2; Haggai 1). Root causes of the impoverishment included the Persian extraction of material resources and partisan wrangling among the various groups of Judeans, including the returnees banded around Nehemiah and Ezra. Although they were allied with the Persians and with their own interest groups, both Ezra and Nehemiah express concern for the common good and seek to provide all Judeans with concrete communal structures that would benefit them.</w:t>
      </w:r>
    </w:p>
    <w:p w14:paraId="5B2DE016" w14:textId="77777777" w:rsidR="005501B4" w:rsidRPr="005501B4" w:rsidRDefault="005501B4" w:rsidP="005501B4">
      <w:pPr>
        <w:rPr>
          <w:rFonts w:ascii="Times New Roman" w:hAnsi="Times New Roman" w:cs="Times New Roman"/>
          <w:sz w:val="28"/>
          <w:szCs w:val="28"/>
        </w:rPr>
      </w:pPr>
      <w:r w:rsidRPr="005501B4">
        <w:rPr>
          <w:rFonts w:ascii="Times New Roman" w:hAnsi="Times New Roman" w:cs="Times New Roman"/>
          <w:sz w:val="28"/>
          <w:szCs w:val="28"/>
        </w:rPr>
        <w:t>The book describes the work of Nehemiah (1: 1– 7: 72) and the place of Torah in the restored community of Jerusalem (8: 1– 13: 31).</w:t>
      </w:r>
    </w:p>
    <w:p w14:paraId="60A64C4C" w14:textId="77777777" w:rsidR="005501B4" w:rsidRDefault="005501B4" w:rsidP="005501B4">
      <w:pPr>
        <w:rPr>
          <w:rFonts w:ascii="Times New Roman" w:hAnsi="Times New Roman" w:cs="Times New Roman"/>
          <w:sz w:val="28"/>
          <w:szCs w:val="28"/>
        </w:rPr>
      </w:pPr>
      <w:r w:rsidRPr="005501B4">
        <w:rPr>
          <w:rFonts w:ascii="Times New Roman" w:hAnsi="Times New Roman" w:cs="Times New Roman"/>
          <w:sz w:val="28"/>
          <w:szCs w:val="28"/>
        </w:rPr>
        <w:t>The Rebuilding of Jerusalem (1: 1– 6: 19)</w:t>
      </w:r>
    </w:p>
    <w:p w14:paraId="65F282D8" w14:textId="77777777" w:rsidR="005501B4" w:rsidRPr="005501B4" w:rsidRDefault="005501B4" w:rsidP="005501B4">
      <w:pPr>
        <w:rPr>
          <w:rFonts w:ascii="Times New Roman" w:hAnsi="Times New Roman" w:cs="Times New Roman"/>
          <w:sz w:val="28"/>
          <w:szCs w:val="28"/>
        </w:rPr>
      </w:pPr>
      <w:r w:rsidRPr="005501B4">
        <w:rPr>
          <w:rFonts w:ascii="Times New Roman" w:hAnsi="Times New Roman" w:cs="Times New Roman"/>
          <w:sz w:val="28"/>
          <w:szCs w:val="28"/>
        </w:rPr>
        <w:t>The Population of Jerusalem (7: 1– 72)</w:t>
      </w:r>
    </w:p>
    <w:p w14:paraId="67E87D05" w14:textId="77777777" w:rsidR="005501B4" w:rsidRPr="005501B4" w:rsidRDefault="005501B4" w:rsidP="005501B4">
      <w:pPr>
        <w:rPr>
          <w:rFonts w:ascii="Times New Roman" w:hAnsi="Times New Roman" w:cs="Times New Roman"/>
          <w:sz w:val="28"/>
          <w:szCs w:val="28"/>
        </w:rPr>
      </w:pPr>
      <w:r w:rsidRPr="005501B4">
        <w:rPr>
          <w:rFonts w:ascii="Times New Roman" w:hAnsi="Times New Roman" w:cs="Times New Roman"/>
          <w:sz w:val="28"/>
          <w:szCs w:val="28"/>
        </w:rPr>
        <w:t>The Public Reading of Torah (8: 1– 10: 40)</w:t>
      </w:r>
    </w:p>
    <w:p w14:paraId="0C42654A" w14:textId="77777777" w:rsidR="005501B4" w:rsidRPr="005501B4" w:rsidRDefault="005501B4" w:rsidP="005501B4">
      <w:pPr>
        <w:rPr>
          <w:rFonts w:ascii="Times New Roman" w:hAnsi="Times New Roman" w:cs="Times New Roman"/>
          <w:sz w:val="28"/>
          <w:szCs w:val="28"/>
        </w:rPr>
      </w:pPr>
      <w:r w:rsidRPr="005501B4">
        <w:rPr>
          <w:rFonts w:ascii="Times New Roman" w:hAnsi="Times New Roman" w:cs="Times New Roman"/>
          <w:sz w:val="28"/>
          <w:szCs w:val="28"/>
        </w:rPr>
        <w:t>The Resettlement of Jerusalem (11: 1– 13: 31)</w:t>
      </w:r>
    </w:p>
    <w:p w14:paraId="7618E1B8" w14:textId="177B31CB" w:rsidR="005501B4" w:rsidRPr="005501B4" w:rsidRDefault="005501B4" w:rsidP="005501B4">
      <w:pPr>
        <w:rPr>
          <w:rFonts w:ascii="Times New Roman" w:hAnsi="Times New Roman" w:cs="Times New Roman"/>
          <w:sz w:val="28"/>
          <w:szCs w:val="28"/>
        </w:rPr>
      </w:pPr>
      <w:r w:rsidRPr="005501B4">
        <w:rPr>
          <w:rFonts w:ascii="Times New Roman" w:hAnsi="Times New Roman" w:cs="Times New Roman"/>
          <w:sz w:val="28"/>
          <w:szCs w:val="28"/>
        </w:rPr>
        <w:t>The book ends with descriptions of three key reform measures begun by Nehemiah in his second tenure as governor</w:t>
      </w:r>
    </w:p>
    <w:p w14:paraId="682B971E" w14:textId="77777777" w:rsidR="00CF7939" w:rsidRPr="00CF7939" w:rsidRDefault="00CF7939" w:rsidP="00CF7939">
      <w:pPr>
        <w:rPr>
          <w:rFonts w:ascii="Times New Roman" w:hAnsi="Times New Roman" w:cs="Times New Roman"/>
          <w:sz w:val="28"/>
          <w:szCs w:val="28"/>
        </w:rPr>
      </w:pPr>
    </w:p>
    <w:p w14:paraId="2A9BDF10" w14:textId="697100AD" w:rsidR="00CF7939" w:rsidRPr="005501B4" w:rsidRDefault="00CF7939" w:rsidP="00CF7939">
      <w:pPr>
        <w:rPr>
          <w:rFonts w:ascii="Times New Roman" w:hAnsi="Times New Roman" w:cs="Times New Roman"/>
          <w:i/>
          <w:iCs/>
          <w:sz w:val="20"/>
          <w:szCs w:val="20"/>
        </w:rPr>
      </w:pPr>
      <w:r w:rsidRPr="005501B4">
        <w:rPr>
          <w:rFonts w:ascii="Times New Roman" w:hAnsi="Times New Roman" w:cs="Times New Roman"/>
          <w:i/>
          <w:iCs/>
          <w:sz w:val="20"/>
          <w:szCs w:val="20"/>
        </w:rPr>
        <w:t>Donald Senior; John Collins; Mary Ann Getty. The Catholic Study Bible (p. 603</w:t>
      </w:r>
      <w:r w:rsidR="005501B4" w:rsidRPr="005501B4">
        <w:rPr>
          <w:rFonts w:ascii="Times New Roman" w:hAnsi="Times New Roman" w:cs="Times New Roman"/>
          <w:i/>
          <w:iCs/>
          <w:sz w:val="20"/>
          <w:szCs w:val="20"/>
        </w:rPr>
        <w:t>-605</w:t>
      </w:r>
      <w:r w:rsidRPr="005501B4">
        <w:rPr>
          <w:rFonts w:ascii="Times New Roman" w:hAnsi="Times New Roman" w:cs="Times New Roman"/>
          <w:i/>
          <w:iCs/>
          <w:sz w:val="20"/>
          <w:szCs w:val="20"/>
        </w:rPr>
        <w:t>). Oxford University Press. Kindle Edition.</w:t>
      </w:r>
    </w:p>
    <w:sectPr w:rsidR="00CF7939" w:rsidRPr="00550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39"/>
    <w:rsid w:val="005501B4"/>
    <w:rsid w:val="00A71F8A"/>
    <w:rsid w:val="00A96BD6"/>
    <w:rsid w:val="00CF7939"/>
    <w:rsid w:val="00EE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9495"/>
  <w15:chartTrackingRefBased/>
  <w15:docId w15:val="{BACDBE93-6CD2-48AF-8D4F-985E0591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9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9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9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9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9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9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9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9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9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9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9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9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9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939"/>
    <w:rPr>
      <w:rFonts w:eastAsiaTheme="majorEastAsia" w:cstheme="majorBidi"/>
      <w:color w:val="272727" w:themeColor="text1" w:themeTint="D8"/>
    </w:rPr>
  </w:style>
  <w:style w:type="paragraph" w:styleId="Title">
    <w:name w:val="Title"/>
    <w:basedOn w:val="Normal"/>
    <w:next w:val="Normal"/>
    <w:link w:val="TitleChar"/>
    <w:uiPriority w:val="10"/>
    <w:qFormat/>
    <w:rsid w:val="00CF7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9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9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939"/>
    <w:pPr>
      <w:spacing w:before="160"/>
      <w:jc w:val="center"/>
    </w:pPr>
    <w:rPr>
      <w:i/>
      <w:iCs/>
      <w:color w:val="404040" w:themeColor="text1" w:themeTint="BF"/>
    </w:rPr>
  </w:style>
  <w:style w:type="character" w:customStyle="1" w:styleId="QuoteChar">
    <w:name w:val="Quote Char"/>
    <w:basedOn w:val="DefaultParagraphFont"/>
    <w:link w:val="Quote"/>
    <w:uiPriority w:val="29"/>
    <w:rsid w:val="00CF7939"/>
    <w:rPr>
      <w:i/>
      <w:iCs/>
      <w:color w:val="404040" w:themeColor="text1" w:themeTint="BF"/>
    </w:rPr>
  </w:style>
  <w:style w:type="paragraph" w:styleId="ListParagraph">
    <w:name w:val="List Paragraph"/>
    <w:basedOn w:val="Normal"/>
    <w:uiPriority w:val="34"/>
    <w:qFormat/>
    <w:rsid w:val="00CF7939"/>
    <w:pPr>
      <w:ind w:left="720"/>
      <w:contextualSpacing/>
    </w:pPr>
  </w:style>
  <w:style w:type="character" w:styleId="IntenseEmphasis">
    <w:name w:val="Intense Emphasis"/>
    <w:basedOn w:val="DefaultParagraphFont"/>
    <w:uiPriority w:val="21"/>
    <w:qFormat/>
    <w:rsid w:val="00CF7939"/>
    <w:rPr>
      <w:i/>
      <w:iCs/>
      <w:color w:val="0F4761" w:themeColor="accent1" w:themeShade="BF"/>
    </w:rPr>
  </w:style>
  <w:style w:type="paragraph" w:styleId="IntenseQuote">
    <w:name w:val="Intense Quote"/>
    <w:basedOn w:val="Normal"/>
    <w:next w:val="Normal"/>
    <w:link w:val="IntenseQuoteChar"/>
    <w:uiPriority w:val="30"/>
    <w:qFormat/>
    <w:rsid w:val="00CF7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939"/>
    <w:rPr>
      <w:i/>
      <w:iCs/>
      <w:color w:val="0F4761" w:themeColor="accent1" w:themeShade="BF"/>
    </w:rPr>
  </w:style>
  <w:style w:type="character" w:styleId="IntenseReference">
    <w:name w:val="Intense Reference"/>
    <w:basedOn w:val="DefaultParagraphFont"/>
    <w:uiPriority w:val="32"/>
    <w:qFormat/>
    <w:rsid w:val="00CF79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Seekins</dc:creator>
  <cp:keywords/>
  <dc:description/>
  <cp:lastModifiedBy>Donald Seekins</cp:lastModifiedBy>
  <cp:revision>2</cp:revision>
  <dcterms:created xsi:type="dcterms:W3CDTF">2024-06-05T16:42:00Z</dcterms:created>
  <dcterms:modified xsi:type="dcterms:W3CDTF">2024-06-05T16:49:00Z</dcterms:modified>
</cp:coreProperties>
</file>